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C5" w:rsidRDefault="00B22DC5" w:rsidP="00B22DC5">
      <w:pPr>
        <w:autoSpaceDE w:val="0"/>
        <w:autoSpaceDN w:val="0"/>
        <w:adjustRightInd w:val="0"/>
        <w:rPr>
          <w:rFonts w:ascii="Verdana" w:eastAsia="細明體" w:hAnsi="Verdana" w:cs="Verdana"/>
          <w:b/>
          <w:bCs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教育部及所屬機關學校辦理各類會議講習訓練與研討（習）會相關管理措施及改進方案</w:t>
      </w:r>
      <w:r>
        <w:rPr>
          <w:rFonts w:ascii="細明體" w:eastAsia="細明體" w:cs="細明體"/>
          <w:kern w:val="0"/>
          <w:szCs w:val="24"/>
        </w:rPr>
        <w:t xml:space="preserve"> </w:t>
      </w:r>
      <w:r>
        <w:rPr>
          <w:rFonts w:ascii="細明體" w:eastAsia="細明體" w:cs="細明體" w:hint="eastAsia"/>
          <w:kern w:val="0"/>
          <w:szCs w:val="24"/>
        </w:rPr>
        <w:t xml:space="preserve">                            </w:t>
      </w:r>
      <w:r>
        <w:rPr>
          <w:rFonts w:ascii="Verdana" w:eastAsia="細明體" w:hAnsi="Verdana" w:cs="Verdana"/>
          <w:b/>
          <w:bCs/>
          <w:kern w:val="0"/>
          <w:szCs w:val="24"/>
        </w:rPr>
        <w:t xml:space="preserve">( </w:t>
      </w:r>
      <w:r>
        <w:rPr>
          <w:rFonts w:ascii="細明體" w:eastAsia="細明體" w:cs="細明體" w:hint="eastAsia"/>
          <w:kern w:val="0"/>
          <w:szCs w:val="24"/>
        </w:rPr>
        <w:t>民國</w:t>
      </w:r>
      <w:r>
        <w:rPr>
          <w:rFonts w:ascii="Verdana" w:eastAsia="細明體" w:hAnsi="Verdana" w:cs="Verdana"/>
          <w:b/>
          <w:bCs/>
          <w:kern w:val="0"/>
          <w:szCs w:val="24"/>
        </w:rPr>
        <w:t xml:space="preserve">101 </w:t>
      </w:r>
      <w:r>
        <w:rPr>
          <w:rFonts w:ascii="細明體" w:eastAsia="細明體" w:cs="細明體" w:hint="eastAsia"/>
          <w:kern w:val="0"/>
          <w:szCs w:val="24"/>
        </w:rPr>
        <w:t>年</w:t>
      </w:r>
      <w:r>
        <w:rPr>
          <w:rFonts w:ascii="細明體" w:eastAsia="細明體" w:cs="細明體"/>
          <w:kern w:val="0"/>
          <w:szCs w:val="24"/>
        </w:rPr>
        <w:t xml:space="preserve"> </w:t>
      </w:r>
      <w:r>
        <w:rPr>
          <w:rFonts w:ascii="Verdana" w:eastAsia="細明體" w:hAnsi="Verdana" w:cs="Verdana"/>
          <w:b/>
          <w:bCs/>
          <w:kern w:val="0"/>
          <w:szCs w:val="24"/>
        </w:rPr>
        <w:t xml:space="preserve">12 </w:t>
      </w:r>
      <w:r>
        <w:rPr>
          <w:rFonts w:ascii="細明體" w:eastAsia="細明體" w:cs="細明體" w:hint="eastAsia"/>
          <w:kern w:val="0"/>
          <w:szCs w:val="24"/>
        </w:rPr>
        <w:t>月</w:t>
      </w:r>
      <w:r>
        <w:rPr>
          <w:rFonts w:ascii="細明體" w:eastAsia="細明體" w:cs="細明體"/>
          <w:kern w:val="0"/>
          <w:szCs w:val="24"/>
        </w:rPr>
        <w:t xml:space="preserve"> </w:t>
      </w:r>
      <w:r>
        <w:rPr>
          <w:rFonts w:ascii="Verdana" w:eastAsia="細明體" w:hAnsi="Verdana" w:cs="Verdana"/>
          <w:b/>
          <w:bCs/>
          <w:kern w:val="0"/>
          <w:szCs w:val="24"/>
        </w:rPr>
        <w:t xml:space="preserve">24 </w:t>
      </w:r>
      <w:r>
        <w:rPr>
          <w:rFonts w:ascii="細明體" w:eastAsia="細明體" w:cs="細明體" w:hint="eastAsia"/>
          <w:kern w:val="0"/>
          <w:szCs w:val="24"/>
        </w:rPr>
        <w:t>日修正</w:t>
      </w:r>
      <w:r>
        <w:rPr>
          <w:rFonts w:ascii="細明體" w:eastAsia="細明體" w:cs="細明體"/>
          <w:kern w:val="0"/>
          <w:szCs w:val="24"/>
        </w:rPr>
        <w:t xml:space="preserve"> </w:t>
      </w:r>
      <w:r>
        <w:rPr>
          <w:rFonts w:ascii="Verdana" w:eastAsia="細明體" w:hAnsi="Verdana" w:cs="Verdana"/>
          <w:b/>
          <w:bCs/>
          <w:kern w:val="0"/>
          <w:szCs w:val="24"/>
        </w:rPr>
        <w:t>)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一、教育部（以下簡稱本部）為落實</w:t>
      </w:r>
      <w:proofErr w:type="gramStart"/>
      <w:r>
        <w:rPr>
          <w:rFonts w:ascii="細明體" w:eastAsia="細明體" w:cs="細明體" w:hint="eastAsia"/>
          <w:kern w:val="0"/>
          <w:szCs w:val="24"/>
        </w:rPr>
        <w:t>撙</w:t>
      </w:r>
      <w:proofErr w:type="gramEnd"/>
      <w:r>
        <w:rPr>
          <w:rFonts w:ascii="細明體" w:eastAsia="細明體" w:cs="細明體" w:hint="eastAsia"/>
          <w:kern w:val="0"/>
          <w:szCs w:val="24"/>
        </w:rPr>
        <w:t>節支出與儘量利用本部所屬機關學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校現有相關設施之原則，特訂定本方案。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二、本部各單位及所屬機關學校（以下簡稱本部各單位）規劃辦理各類會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議、講習、訓練及研討（習）會時，應依本方案辦理。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三、本部各單位辦理一般性會議、講習、訓練及研討（習）會，應利用本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proofErr w:type="gramStart"/>
      <w:r>
        <w:rPr>
          <w:rFonts w:ascii="細明體" w:eastAsia="細明體" w:cs="細明體" w:hint="eastAsia"/>
          <w:kern w:val="0"/>
          <w:szCs w:val="24"/>
        </w:rPr>
        <w:t>部各單位</w:t>
      </w:r>
      <w:proofErr w:type="gramEnd"/>
      <w:r>
        <w:rPr>
          <w:rFonts w:ascii="細明體" w:eastAsia="細明體" w:cs="細明體" w:hint="eastAsia"/>
          <w:kern w:val="0"/>
          <w:szCs w:val="24"/>
        </w:rPr>
        <w:t>內部自有之場地，不得於外部場地辦理。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四、本部各單位確有於外部場地辦理大型會議、講習、訓練及研討（習）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會之必要時，有關場地選擇之優先順序，規定如下：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（一）本部所屬機關學校之場地（不包括委外經營之場地）。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（二）洽借所在地或鄰近地區之其他機關或訓練機關之場地</w:t>
      </w:r>
      <w:proofErr w:type="gramStart"/>
      <w:r>
        <w:rPr>
          <w:rFonts w:ascii="細明體" w:eastAsia="細明體" w:cs="細明體" w:hint="eastAsia"/>
          <w:kern w:val="0"/>
          <w:szCs w:val="24"/>
        </w:rPr>
        <w:t>（</w:t>
      </w:r>
      <w:proofErr w:type="gramEnd"/>
      <w:r>
        <w:rPr>
          <w:rFonts w:ascii="細明體" w:eastAsia="細明體" w:cs="細明體" w:hint="eastAsia"/>
          <w:kern w:val="0"/>
          <w:szCs w:val="24"/>
        </w:rPr>
        <w:t>例如國家文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官學院、行政院人事行政總處所屬訓練機構或臺灣電力公司訓練所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等</w:t>
      </w:r>
      <w:proofErr w:type="gramStart"/>
      <w:r>
        <w:rPr>
          <w:rFonts w:ascii="細明體" w:eastAsia="細明體" w:cs="細明體" w:hint="eastAsia"/>
          <w:kern w:val="0"/>
          <w:szCs w:val="24"/>
        </w:rPr>
        <w:t>）</w:t>
      </w:r>
      <w:proofErr w:type="gramEnd"/>
      <w:r>
        <w:rPr>
          <w:rFonts w:ascii="細明體" w:eastAsia="細明體" w:cs="細明體" w:hint="eastAsia"/>
          <w:kern w:val="0"/>
          <w:szCs w:val="24"/>
        </w:rPr>
        <w:t>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（三）本部所屬機關學校委外經營之場地、</w:t>
      </w:r>
      <w:proofErr w:type="gramStart"/>
      <w:r>
        <w:rPr>
          <w:rFonts w:ascii="細明體" w:eastAsia="細明體" w:cs="細明體" w:hint="eastAsia"/>
          <w:kern w:val="0"/>
          <w:szCs w:val="24"/>
        </w:rPr>
        <w:t>臺</w:t>
      </w:r>
      <w:proofErr w:type="gramEnd"/>
      <w:r>
        <w:rPr>
          <w:rFonts w:ascii="細明體" w:eastAsia="細明體" w:cs="細明體" w:hint="eastAsia"/>
          <w:kern w:val="0"/>
          <w:szCs w:val="24"/>
        </w:rPr>
        <w:t>北教師會館或日月潭教師會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館等。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（四）其他得提供非假日期間膳宿折扣之大型場地，並應於簽呈內敘明確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實無法覓得前三款適合之地點或場所情形。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五、辦理各類會議、講習、訓練及研討（習）會，經費編列規定如下：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（一）使用前點第一款或第二款規定之場地者，於其所定一般收費標準</w:t>
      </w:r>
      <w:proofErr w:type="gramStart"/>
      <w:r>
        <w:rPr>
          <w:rFonts w:ascii="細明體" w:eastAsia="細明體" w:cs="細明體" w:hint="eastAsia"/>
          <w:kern w:val="0"/>
          <w:szCs w:val="24"/>
        </w:rPr>
        <w:t>範</w:t>
      </w:r>
      <w:proofErr w:type="gramEnd"/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圍內編列。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（二）使用前點第三款或第四款規定之場地者，編列上限規定如下：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Verdana" w:eastAsia="細明體" w:hAnsi="Verdana" w:cs="Verdana"/>
          <w:kern w:val="0"/>
          <w:szCs w:val="24"/>
        </w:rPr>
        <w:t>1.</w:t>
      </w:r>
      <w:r>
        <w:rPr>
          <w:rFonts w:ascii="細明體" w:eastAsia="細明體" w:cs="細明體" w:hint="eastAsia"/>
          <w:kern w:val="0"/>
          <w:szCs w:val="24"/>
        </w:rPr>
        <w:t>參加對象為機關（構）人員者，每人每日</w:t>
      </w:r>
      <w:proofErr w:type="gramStart"/>
      <w:r>
        <w:rPr>
          <w:rFonts w:ascii="細明體" w:eastAsia="細明體" w:cs="細明體" w:hint="eastAsia"/>
          <w:kern w:val="0"/>
          <w:szCs w:val="24"/>
        </w:rPr>
        <w:t>膳費為薦任</w:t>
      </w:r>
      <w:proofErr w:type="gramEnd"/>
      <w:r>
        <w:rPr>
          <w:rFonts w:ascii="細明體" w:eastAsia="細明體" w:cs="細明體" w:hint="eastAsia"/>
          <w:kern w:val="0"/>
          <w:szCs w:val="24"/>
        </w:rPr>
        <w:t>級以下人員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新臺幣（以下同）二百五十元，簡任級人員二百七十五元；每日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住宿</w:t>
      </w:r>
      <w:proofErr w:type="gramStart"/>
      <w:r>
        <w:rPr>
          <w:rFonts w:ascii="細明體" w:eastAsia="細明體" w:cs="細明體" w:hint="eastAsia"/>
          <w:kern w:val="0"/>
          <w:szCs w:val="24"/>
        </w:rPr>
        <w:t>費為薦任</w:t>
      </w:r>
      <w:proofErr w:type="gramEnd"/>
      <w:r>
        <w:rPr>
          <w:rFonts w:ascii="細明體" w:eastAsia="細明體" w:cs="細明體" w:hint="eastAsia"/>
          <w:kern w:val="0"/>
          <w:szCs w:val="24"/>
        </w:rPr>
        <w:t>級以下人員一千四百元，簡任級人員一千六百元。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Verdana" w:eastAsia="細明體" w:hAnsi="Verdana" w:cs="Verdana"/>
          <w:kern w:val="0"/>
          <w:szCs w:val="24"/>
        </w:rPr>
        <w:t>2.</w:t>
      </w:r>
      <w:r>
        <w:rPr>
          <w:rFonts w:ascii="細明體" w:eastAsia="細明體" w:cs="細明體" w:hint="eastAsia"/>
          <w:kern w:val="0"/>
          <w:szCs w:val="24"/>
        </w:rPr>
        <w:t>應業務需要辦理，且參加對象主要為機關（構）以外之人士者，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每人每日膳費為五百元；每日住宿費為一千四百元。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Verdana" w:eastAsia="細明體" w:hAnsi="Verdana" w:cs="Verdana"/>
          <w:kern w:val="0"/>
          <w:szCs w:val="24"/>
        </w:rPr>
        <w:t>3.</w:t>
      </w:r>
      <w:r>
        <w:rPr>
          <w:rFonts w:ascii="細明體" w:eastAsia="細明體" w:cs="細明體" w:hint="eastAsia"/>
          <w:kern w:val="0"/>
          <w:szCs w:val="24"/>
        </w:rPr>
        <w:t>辦理國際性會議、研討會（不包括講習、訓練及研習），每人每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日膳費為一千一百元；每日住宿費為二千元。但外賓每日住宿費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為四千元。本部各單位如於膳宿費</w:t>
      </w:r>
      <w:proofErr w:type="gramStart"/>
      <w:r>
        <w:rPr>
          <w:rFonts w:ascii="細明體" w:eastAsia="細明體" w:cs="細明體" w:hint="eastAsia"/>
          <w:kern w:val="0"/>
          <w:szCs w:val="24"/>
        </w:rPr>
        <w:t>以外，再支</w:t>
      </w:r>
      <w:proofErr w:type="gramEnd"/>
      <w:r>
        <w:rPr>
          <w:rFonts w:ascii="細明體" w:eastAsia="細明體" w:cs="細明體" w:hint="eastAsia"/>
          <w:kern w:val="0"/>
          <w:szCs w:val="24"/>
        </w:rPr>
        <w:t>給外賓其他酬勞者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，其支付費用總額不得超出行政院所定各機關聘請國外顧問、專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家及學者來台工作期間支付費用最高標準表規定。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前項膳宿費規定，應本</w:t>
      </w:r>
      <w:proofErr w:type="gramStart"/>
      <w:r>
        <w:rPr>
          <w:rFonts w:ascii="細明體" w:eastAsia="細明體" w:cs="細明體" w:hint="eastAsia"/>
          <w:kern w:val="0"/>
          <w:szCs w:val="24"/>
        </w:rPr>
        <w:t>撙</w:t>
      </w:r>
      <w:proofErr w:type="gramEnd"/>
      <w:r>
        <w:rPr>
          <w:rFonts w:ascii="細明體" w:eastAsia="細明體" w:cs="細明體" w:hint="eastAsia"/>
          <w:kern w:val="0"/>
          <w:szCs w:val="24"/>
        </w:rPr>
        <w:t>節原則辦理，並得視實際需要依各基準核算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之總額範圍內互相調整支應。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六、各項會議、講習、訓練及研討（習）會相關課程與活動之規劃及安排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，應依所定目標與實際需求，力求嚴謹及核實，不得過於鬆散或與主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proofErr w:type="gramStart"/>
      <w:r>
        <w:rPr>
          <w:rFonts w:ascii="細明體" w:eastAsia="細明體" w:cs="細明體" w:hint="eastAsia"/>
          <w:kern w:val="0"/>
          <w:szCs w:val="24"/>
        </w:rPr>
        <w:t>題無直接</w:t>
      </w:r>
      <w:proofErr w:type="gramEnd"/>
      <w:r>
        <w:rPr>
          <w:rFonts w:ascii="細明體" w:eastAsia="細明體" w:cs="細明體" w:hint="eastAsia"/>
          <w:kern w:val="0"/>
          <w:szCs w:val="24"/>
        </w:rPr>
        <w:t>關聯之項目，得於一日或二日內完成者，除特殊情形外，不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得規劃為二日或三日。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lastRenderedPageBreak/>
        <w:t>七、不得編列聘請樂團演唱或表演之經費。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不得編列紀念品、禮品或宣導品之經費。但必要頒發之獎品及依國際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禮儀致贈外賓之禮品，不在此限。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八、參加各類會議、講習、訓練及研討（習）會之人員，不得攜</w:t>
      </w:r>
      <w:proofErr w:type="gramStart"/>
      <w:r>
        <w:rPr>
          <w:rFonts w:ascii="細明體" w:eastAsia="細明體" w:cs="細明體" w:hint="eastAsia"/>
          <w:kern w:val="0"/>
          <w:szCs w:val="24"/>
        </w:rPr>
        <w:t>眷</w:t>
      </w:r>
      <w:proofErr w:type="gramEnd"/>
      <w:r>
        <w:rPr>
          <w:rFonts w:ascii="細明體" w:eastAsia="細明體" w:cs="細明體" w:hint="eastAsia"/>
          <w:kern w:val="0"/>
          <w:szCs w:val="24"/>
        </w:rPr>
        <w:t>參加。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九、實施校務基金之國立大專校院，以五項自籌收入支應辦理各類會議、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講習、訓練及研討（習）會，應依國立大學校院校務基金管理及監督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辦法規定，於校務基金收支管理規定中</w:t>
      </w:r>
      <w:proofErr w:type="gramStart"/>
      <w:r>
        <w:rPr>
          <w:rFonts w:ascii="細明體" w:eastAsia="細明體" w:cs="細明體" w:hint="eastAsia"/>
          <w:kern w:val="0"/>
          <w:szCs w:val="24"/>
        </w:rPr>
        <w:t>明定支給</w:t>
      </w:r>
      <w:proofErr w:type="gramEnd"/>
      <w:r>
        <w:rPr>
          <w:rFonts w:ascii="細明體" w:eastAsia="細明體" w:cs="細明體" w:hint="eastAsia"/>
          <w:kern w:val="0"/>
          <w:szCs w:val="24"/>
        </w:rPr>
        <w:t>基準後實施。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十、本部各單位向本部以外機關（構）申請經費補助辦理各類會議、講習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、訓練及研討（習）會者，其經費之編列與執行，應比照本方案規定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審核及辦理。但補助機關（構）對補助內容規定更嚴格者，依其規定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。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十一、接受本部各單位委辦或補助之機關、學校及民間機構等，於本部各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單位所撥給相關費用之編列與執行，應比照本方案規定審核及辦理</w:t>
      </w:r>
    </w:p>
    <w:p w:rsidR="00B22DC5" w:rsidRDefault="00B22DC5" w:rsidP="00B22DC5">
      <w:pPr>
        <w:autoSpaceDE w:val="0"/>
        <w:autoSpaceDN w:val="0"/>
        <w:adjustRightInd w:val="0"/>
        <w:rPr>
          <w:rFonts w:ascii="細明體" w:eastAsia="細明體" w:cs="細明體"/>
          <w:kern w:val="0"/>
          <w:szCs w:val="24"/>
        </w:rPr>
      </w:pPr>
      <w:r>
        <w:rPr>
          <w:rFonts w:ascii="細明體" w:eastAsia="細明體" w:cs="細明體" w:hint="eastAsia"/>
          <w:kern w:val="0"/>
          <w:szCs w:val="24"/>
        </w:rPr>
        <w:t>。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十二、其他應行注意事項：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（一）第五點第一項第二款第一目、第二目及第十點所定機關</w:t>
      </w:r>
      <w:r>
        <w:rPr>
          <w:rFonts w:ascii="TimesNewRomanPSMT" w:eastAsia="TimesNewRomanPSMT" w:cs="TimesNewRomanPSMT"/>
          <w:kern w:val="0"/>
          <w:szCs w:val="24"/>
        </w:rPr>
        <w:t>(</w:t>
      </w:r>
      <w:r>
        <w:rPr>
          <w:rFonts w:ascii="新細明體" w:eastAsia="新細明體" w:cs="新細明體" w:hint="eastAsia"/>
          <w:kern w:val="0"/>
          <w:szCs w:val="24"/>
        </w:rPr>
        <w:t>構</w:t>
      </w:r>
      <w:r>
        <w:rPr>
          <w:rFonts w:ascii="TimesNewRomanPSMT" w:eastAsia="TimesNewRomanPSMT" w:cs="TimesNewRomanPSMT"/>
          <w:kern w:val="0"/>
          <w:szCs w:val="24"/>
        </w:rPr>
        <w:t>)</w:t>
      </w:r>
      <w:r>
        <w:rPr>
          <w:rFonts w:ascii="新細明體" w:eastAsia="新細明體" w:cs="新細明體" w:hint="eastAsia"/>
          <w:kern w:val="0"/>
          <w:szCs w:val="24"/>
        </w:rPr>
        <w:t>，依行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政院</w:t>
      </w:r>
      <w:proofErr w:type="gramStart"/>
      <w:r>
        <w:rPr>
          <w:rFonts w:ascii="新細明體" w:eastAsia="新細明體" w:cs="新細明體" w:hint="eastAsia"/>
          <w:kern w:val="0"/>
          <w:szCs w:val="24"/>
        </w:rPr>
        <w:t>九十五年九月二十一日院授主</w:t>
      </w:r>
      <w:proofErr w:type="gramEnd"/>
      <w:r>
        <w:rPr>
          <w:rFonts w:ascii="新細明體" w:eastAsia="新細明體" w:cs="新細明體" w:hint="eastAsia"/>
          <w:kern w:val="0"/>
          <w:szCs w:val="24"/>
        </w:rPr>
        <w:t>會三字第</w:t>
      </w:r>
      <w:r>
        <w:rPr>
          <w:rFonts w:ascii="新細明體" w:eastAsia="新細明體" w:cs="新細明體"/>
          <w:kern w:val="0"/>
          <w:szCs w:val="24"/>
        </w:rPr>
        <w:t xml:space="preserve"> </w:t>
      </w:r>
      <w:r>
        <w:rPr>
          <w:rFonts w:ascii="TimesNewRomanPSMT" w:eastAsia="TimesNewRomanPSMT" w:cs="TimesNewRomanPSMT" w:hint="eastAsia"/>
          <w:kern w:val="0"/>
          <w:szCs w:val="24"/>
        </w:rPr>
        <w:t>○</w:t>
      </w:r>
      <w:r>
        <w:rPr>
          <w:rFonts w:ascii="新細明體" w:eastAsia="新細明體" w:cs="新細明體" w:hint="eastAsia"/>
          <w:kern w:val="0"/>
          <w:szCs w:val="24"/>
        </w:rPr>
        <w:t>九五</w:t>
      </w:r>
      <w:r>
        <w:rPr>
          <w:rFonts w:ascii="TimesNewRomanPSMT" w:eastAsia="TimesNewRomanPSMT" w:cs="TimesNewRomanPSMT" w:hint="eastAsia"/>
          <w:kern w:val="0"/>
          <w:szCs w:val="24"/>
        </w:rPr>
        <w:t>○○○</w:t>
      </w:r>
      <w:r>
        <w:rPr>
          <w:rFonts w:ascii="新細明體" w:eastAsia="新細明體" w:cs="新細明體" w:hint="eastAsia"/>
          <w:kern w:val="0"/>
          <w:szCs w:val="24"/>
        </w:rPr>
        <w:t>五五九九號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函規定，包括中央及地方政府所屬公務機關、公立學校、國營事業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、非營業特種基金及政府捐助基金達二分之一以上之財團法人</w:t>
      </w:r>
      <w:r>
        <w:rPr>
          <w:rFonts w:ascii="新細明體" w:eastAsia="新細明體" w:cs="新細明體"/>
          <w:kern w:val="0"/>
          <w:szCs w:val="24"/>
        </w:rPr>
        <w:t xml:space="preserve"> </w:t>
      </w:r>
      <w:r>
        <w:rPr>
          <w:rFonts w:ascii="TimesNewRomanPSMT" w:eastAsia="TimesNewRomanPSMT" w:cs="TimesNewRomanPSMT"/>
          <w:kern w:val="0"/>
          <w:szCs w:val="24"/>
        </w:rPr>
        <w:t>(</w:t>
      </w:r>
      <w:r>
        <w:rPr>
          <w:rFonts w:ascii="新細明體" w:eastAsia="新細明體" w:cs="新細明體" w:hint="eastAsia"/>
          <w:kern w:val="0"/>
          <w:szCs w:val="24"/>
        </w:rPr>
        <w:t>例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如工業技術研究院</w:t>
      </w:r>
      <w:r>
        <w:rPr>
          <w:rFonts w:ascii="TimesNewRomanPSMT" w:eastAsia="TimesNewRomanPSMT" w:cs="TimesNewRomanPSMT"/>
          <w:kern w:val="0"/>
          <w:szCs w:val="24"/>
        </w:rPr>
        <w:t>)</w:t>
      </w:r>
      <w:r>
        <w:rPr>
          <w:rFonts w:ascii="新細明體" w:eastAsia="新細明體" w:cs="新細明體" w:hint="eastAsia"/>
          <w:kern w:val="0"/>
          <w:szCs w:val="24"/>
        </w:rPr>
        <w:t>。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（二）第五點第一項第二款第三目所稱國際性會議、研討會，指各執行計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畫之定義或申請條件</w:t>
      </w:r>
      <w:proofErr w:type="gramStart"/>
      <w:r>
        <w:rPr>
          <w:rFonts w:ascii="新細明體" w:eastAsia="新細明體" w:cs="新細明體" w:hint="eastAsia"/>
          <w:kern w:val="0"/>
          <w:szCs w:val="24"/>
        </w:rPr>
        <w:t>所定者</w:t>
      </w:r>
      <w:proofErr w:type="gramEnd"/>
      <w:r>
        <w:rPr>
          <w:rFonts w:ascii="新細明體" w:eastAsia="新細明體" w:cs="新細明體" w:hint="eastAsia"/>
          <w:kern w:val="0"/>
          <w:szCs w:val="24"/>
        </w:rPr>
        <w:t>；其未規定者，指行政院國家科學委員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會補助國內舉辦國際學術研討會作業要點第二點所定之下列三類。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但不包括僅邀請國外人士來我國演講及授課者：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TimesNewRomanPSMT" w:eastAsia="TimesNewRomanPSMT" w:cs="TimesNewRomanPSMT"/>
          <w:kern w:val="0"/>
          <w:szCs w:val="24"/>
        </w:rPr>
        <w:t>1.</w:t>
      </w:r>
      <w:r>
        <w:rPr>
          <w:rFonts w:ascii="新細明體" w:eastAsia="新細明體" w:cs="新細明體" w:hint="eastAsia"/>
          <w:kern w:val="0"/>
          <w:szCs w:val="24"/>
        </w:rPr>
        <w:t>第一類：由國際性學術組織（跨洲際）授權主辦或與該學術組織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聯合舉辦之國際大型學術會議。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TimesNewRomanPSMT" w:eastAsia="TimesNewRomanPSMT" w:cs="TimesNewRomanPSMT"/>
          <w:kern w:val="0"/>
          <w:szCs w:val="24"/>
        </w:rPr>
        <w:t>2.</w:t>
      </w:r>
      <w:r>
        <w:rPr>
          <w:rFonts w:ascii="新細明體" w:eastAsia="新細明體" w:cs="新細明體" w:hint="eastAsia"/>
          <w:kern w:val="0"/>
          <w:szCs w:val="24"/>
        </w:rPr>
        <w:t>第二類：國際性學術組織（跨洲際或洲區域性）正式認可在我國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新細明體" w:eastAsia="新細明體" w:cs="新細明體" w:hint="eastAsia"/>
          <w:kern w:val="0"/>
          <w:szCs w:val="24"/>
        </w:rPr>
        <w:t>舉辦之國際學術研討會。</w:t>
      </w:r>
    </w:p>
    <w:p w:rsidR="00B22DC5" w:rsidRDefault="00B22DC5" w:rsidP="00B22DC5">
      <w:pPr>
        <w:autoSpaceDE w:val="0"/>
        <w:autoSpaceDN w:val="0"/>
        <w:adjustRightInd w:val="0"/>
        <w:rPr>
          <w:rFonts w:ascii="新細明體" w:eastAsia="新細明體" w:cs="新細明體"/>
          <w:kern w:val="0"/>
          <w:szCs w:val="24"/>
        </w:rPr>
      </w:pPr>
      <w:r>
        <w:rPr>
          <w:rFonts w:ascii="TimesNewRomanPSMT" w:eastAsia="TimesNewRomanPSMT" w:cs="TimesNewRomanPSMT"/>
          <w:kern w:val="0"/>
          <w:szCs w:val="24"/>
        </w:rPr>
        <w:t>3.</w:t>
      </w:r>
      <w:r>
        <w:rPr>
          <w:rFonts w:ascii="新細明體" w:eastAsia="新細明體" w:cs="新細明體" w:hint="eastAsia"/>
          <w:kern w:val="0"/>
          <w:szCs w:val="24"/>
        </w:rPr>
        <w:t>第三類：國內自行主辦之國際學術研討會。</w:t>
      </w:r>
    </w:p>
    <w:p w:rsidR="00A21DF6" w:rsidRPr="00B22DC5" w:rsidRDefault="00A21DF6" w:rsidP="00B22DC5">
      <w:pPr>
        <w:autoSpaceDE w:val="0"/>
        <w:autoSpaceDN w:val="0"/>
        <w:adjustRightInd w:val="0"/>
      </w:pPr>
    </w:p>
    <w:sectPr w:rsidR="00A21DF6" w:rsidRPr="00B22DC5" w:rsidSect="00A21D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2DC5"/>
    <w:rsid w:val="0006236C"/>
    <w:rsid w:val="00A21DF6"/>
    <w:rsid w:val="00B2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2014-04-23T09:49:00Z</dcterms:created>
  <dcterms:modified xsi:type="dcterms:W3CDTF">2014-04-23T09:54:00Z</dcterms:modified>
</cp:coreProperties>
</file>